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Times New Roman" w:hAnsi="Times New Roman" w:cs="Times New Roman"/>
          <w:b/>
          <w:sz w:val="24"/>
          <w:szCs w:val="24"/>
        </w:rPr>
      </w:pPr>
      <w:r>
        <w:rPr>
          <w:rFonts w:ascii="Times New Roman" w:hAnsi="Times New Roman" w:cs="Times New Roman"/>
          <w:b/>
          <w:sz w:val="24"/>
          <w:szCs w:val="24"/>
        </w:rPr>
        <w:t>EXAMPLE</w:t>
      </w:r>
      <w:r>
        <w:rPr>
          <w:rStyle w:val="FootnoteReference"/>
          <w:rFonts w:ascii="Times New Roman" w:hAnsi="Times New Roman" w:cs="Times New Roman"/>
          <w:b/>
          <w:sz w:val="24"/>
          <w:szCs w:val="24"/>
        </w:rPr>
        <w:footnoteReference w:id="1"/>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Notification of Compliance Status (NOCS)</w:t>
      </w:r>
    </w:p>
    <w:p>
      <w:pPr>
        <w:jc w:val="center"/>
        <w:rPr>
          <w:rFonts w:ascii="Times New Roman" w:hAnsi="Times New Roman" w:cs="Times New Roman"/>
          <w:b/>
          <w:sz w:val="24"/>
          <w:szCs w:val="24"/>
        </w:rPr>
      </w:pPr>
      <w:r>
        <w:rPr>
          <w:rFonts w:ascii="Times New Roman" w:hAnsi="Times New Roman" w:cs="Times New Roman"/>
          <w:b/>
          <w:sz w:val="24"/>
          <w:szCs w:val="24"/>
        </w:rPr>
        <w:t>National Emission Standards for Hazardous Air Pollutants</w:t>
      </w:r>
    </w:p>
    <w:p>
      <w:pPr>
        <w:jc w:val="center"/>
        <w:rPr>
          <w:rFonts w:ascii="Times New Roman" w:hAnsi="Times New Roman" w:cs="Times New Roman"/>
          <w:b/>
          <w:sz w:val="24"/>
          <w:szCs w:val="24"/>
        </w:rPr>
      </w:pPr>
      <w:r>
        <w:rPr>
          <w:rFonts w:ascii="Times New Roman" w:hAnsi="Times New Roman" w:cs="Times New Roman"/>
          <w:b/>
          <w:sz w:val="24"/>
          <w:szCs w:val="24"/>
        </w:rPr>
        <w:t>For Chemical Manufacturing Area Sources</w:t>
      </w:r>
    </w:p>
    <w:p>
      <w:pPr>
        <w:jc w:val="center"/>
        <w:rPr>
          <w:rFonts w:ascii="Times New Roman" w:hAnsi="Times New Roman" w:cs="Times New Roman"/>
          <w:b/>
          <w:sz w:val="24"/>
          <w:szCs w:val="24"/>
        </w:rPr>
      </w:pPr>
      <w:r>
        <w:rPr>
          <w:rFonts w:ascii="Times New Roman" w:hAnsi="Times New Roman" w:cs="Times New Roman"/>
          <w:b/>
          <w:sz w:val="24"/>
          <w:szCs w:val="24"/>
        </w:rPr>
        <w:t xml:space="preserve">40 CFR </w:t>
      </w:r>
      <w:proofErr w:type="gramStart"/>
      <w:r>
        <w:rPr>
          <w:rFonts w:ascii="Times New Roman" w:hAnsi="Times New Roman" w:cs="Times New Roman"/>
          <w:b/>
          <w:sz w:val="24"/>
          <w:szCs w:val="24"/>
        </w:rPr>
        <w:t>Part</w:t>
      </w:r>
      <w:proofErr w:type="gramEnd"/>
      <w:r>
        <w:rPr>
          <w:rFonts w:ascii="Times New Roman" w:hAnsi="Times New Roman" w:cs="Times New Roman"/>
          <w:b/>
          <w:sz w:val="24"/>
          <w:szCs w:val="24"/>
        </w:rPr>
        <w:t xml:space="preserve"> 63, Subpart VVVVVV</w:t>
      </w:r>
    </w:p>
    <w:p>
      <w:pPr>
        <w:jc w:val="cente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t>SECTION I:  FACILITY INFORMATION</w:t>
      </w:r>
    </w:p>
    <w:p>
      <w:pPr>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I am subject to 40 CFR </w:t>
      </w:r>
      <w:proofErr w:type="gramStart"/>
      <w:r>
        <w:rPr>
          <w:rFonts w:ascii="Times New Roman" w:hAnsi="Times New Roman" w:cs="Times New Roman"/>
          <w:sz w:val="24"/>
          <w:szCs w:val="24"/>
        </w:rPr>
        <w:t>part</w:t>
      </w:r>
      <w:proofErr w:type="gramEnd"/>
      <w:r>
        <w:rPr>
          <w:rFonts w:ascii="Times New Roman" w:hAnsi="Times New Roman" w:cs="Times New Roman"/>
          <w:sz w:val="24"/>
          <w:szCs w:val="24"/>
        </w:rPr>
        <w:t xml:space="preserve"> 63, subpart VVVVVV National Emission Standards for Hazardous Air Pollutants:  Area Source Standards for Chemical Manufacturing</w:t>
      </w:r>
      <w:r>
        <w:rPr>
          <w:rStyle w:val="FootnoteReference"/>
          <w:rFonts w:ascii="Times New Roman" w:hAnsi="Times New Roman" w:cs="Times New Roman"/>
          <w:sz w:val="24"/>
          <w:szCs w:val="24"/>
        </w:rPr>
        <w:footnoteReference w:id="2"/>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Source category and NAICS code(s)__________________________________________________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Company name:______________________________________________________________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Facility name (if different):_____________________________________________________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Facility (physical location) address:_________________________________________________________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w:t>
      </w:r>
      <w:r>
        <w:rPr>
          <w:rFonts w:ascii="Times New Roman" w:hAnsi="Times New Roman" w:cs="Times New Roman"/>
          <w:sz w:val="24"/>
          <w:szCs w:val="24"/>
        </w:rPr>
        <w:tab/>
      </w:r>
      <w:r>
        <w:rPr>
          <w:rFonts w:ascii="Times New Roman" w:hAnsi="Times New Roman" w:cs="Times New Roman"/>
          <w:sz w:val="24"/>
          <w:szCs w:val="24"/>
        </w:rPr>
        <w:tab/>
        <w:t>____________</w:t>
      </w:r>
    </w:p>
    <w:p>
      <w:pPr>
        <w:rPr>
          <w:rFonts w:ascii="Times New Roman" w:hAnsi="Times New Roman" w:cs="Times New Roman"/>
          <w:sz w:val="24"/>
          <w:szCs w:val="24"/>
        </w:rPr>
      </w:pPr>
      <w:r>
        <w:rPr>
          <w:rFonts w:ascii="Times New Roman" w:hAnsi="Times New Roman" w:cs="Times New Roman"/>
          <w:sz w:val="24"/>
          <w:szCs w:val="24"/>
        </w:rPr>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Owner name/title:________________________________________________________________________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Owner/company address:__________________________________________________________________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Owner telephone number:___________________________________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Owner email address (if available):__________________________________________________________</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4"/>
          <w:szCs w:val="24"/>
          <w:vertAlign w:val="superscript"/>
        </w:rPr>
      </w:pPr>
      <w:r>
        <w:rPr>
          <w:rFonts w:ascii="Times New Roman" w:hAnsi="Times New Roman" w:cs="Times New Roman"/>
          <w:b/>
          <w:sz w:val="24"/>
          <w:szCs w:val="24"/>
        </w:rPr>
        <w:lastRenderedPageBreak/>
        <w:t>SECTION II:  COMPLIANCE AND NOCS DUE DATES</w:t>
      </w:r>
      <w:r>
        <w:rPr>
          <w:rFonts w:ascii="Times New Roman" w:hAnsi="Times New Roman" w:cs="Times New Roman"/>
          <w:b/>
          <w:sz w:val="24"/>
          <w:szCs w:val="24"/>
          <w:vertAlign w:val="superscript"/>
        </w:rPr>
        <w:t>a</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Please indicate appropriate Compliance and NOCS due dates for the facility:                                                                                                                                                                                                                                                                                                                                                                                                                                                                                                                                                                                                                                                                                                                                                                                                                                                                                                                                                                                                                                                                                                                                                                                                                                                                                                                                                                                                                                                                                                                                                                                                                                                                                                                                                                                                                               </w:t>
      </w:r>
    </w:p>
    <w:p>
      <w:pPr>
        <w:jc w:val="center"/>
        <w:rPr>
          <w:rFonts w:ascii="Times New Roman" w:hAnsi="Times New Roman" w:cs="Times New Roman"/>
          <w:b/>
          <w:sz w:val="24"/>
          <w:szCs w:val="24"/>
        </w:rPr>
      </w:pPr>
    </w:p>
    <w:tbl>
      <w:tblPr>
        <w:tblStyle w:val="TableGrid"/>
        <w:tblW w:w="0" w:type="auto"/>
        <w:tblLook w:val="04A0"/>
      </w:tblPr>
      <w:tblGrid>
        <w:gridCol w:w="3078"/>
        <w:gridCol w:w="4050"/>
        <w:gridCol w:w="4320"/>
      </w:tblGrid>
      <w:tr>
        <w:tc>
          <w:tcPr>
            <w:tcW w:w="3078" w:type="dxa"/>
            <w:tcBorders>
              <w:bottom w:val="single" w:sz="4" w:space="0" w:color="auto"/>
            </w:tcBorders>
          </w:tcPr>
          <w:p>
            <w:pPr>
              <w:jc w:val="center"/>
              <w:rPr>
                <w:rFonts w:ascii="Times New Roman" w:hAnsi="Times New Roman" w:cs="Times New Roman"/>
                <w:b/>
                <w:sz w:val="24"/>
                <w:szCs w:val="24"/>
              </w:rPr>
            </w:pPr>
            <w:r>
              <w:rPr>
                <w:rFonts w:ascii="Times New Roman" w:hAnsi="Times New Roman" w:cs="Times New Roman"/>
                <w:b/>
                <w:sz w:val="24"/>
                <w:szCs w:val="24"/>
              </w:rPr>
              <w:t>Type of Affected Source</w:t>
            </w:r>
          </w:p>
        </w:tc>
        <w:tc>
          <w:tcPr>
            <w:tcW w:w="4050" w:type="dxa"/>
            <w:tcBorders>
              <w:bottom w:val="single" w:sz="4" w:space="0" w:color="auto"/>
            </w:tcBorders>
          </w:tcPr>
          <w:p>
            <w:pPr>
              <w:jc w:val="center"/>
              <w:rPr>
                <w:rFonts w:ascii="Times New Roman" w:hAnsi="Times New Roman" w:cs="Times New Roman"/>
                <w:b/>
                <w:sz w:val="24"/>
                <w:szCs w:val="24"/>
              </w:rPr>
            </w:pPr>
            <w:r>
              <w:rPr>
                <w:rFonts w:ascii="Times New Roman" w:hAnsi="Times New Roman" w:cs="Times New Roman"/>
                <w:b/>
                <w:sz w:val="24"/>
                <w:szCs w:val="24"/>
              </w:rPr>
              <w:t>Compliance Date</w:t>
            </w:r>
          </w:p>
        </w:tc>
        <w:tc>
          <w:tcPr>
            <w:tcW w:w="4320" w:type="dxa"/>
            <w:tcBorders>
              <w:bottom w:val="single" w:sz="4" w:space="0" w:color="auto"/>
            </w:tcBorders>
          </w:tcPr>
          <w:p>
            <w:pPr>
              <w:jc w:val="center"/>
              <w:rPr>
                <w:rFonts w:ascii="Times New Roman" w:hAnsi="Times New Roman" w:cs="Times New Roman"/>
                <w:b/>
                <w:sz w:val="24"/>
                <w:szCs w:val="24"/>
              </w:rPr>
            </w:pPr>
            <w:r>
              <w:rPr>
                <w:rFonts w:ascii="Times New Roman" w:hAnsi="Times New Roman" w:cs="Times New Roman"/>
                <w:b/>
                <w:sz w:val="24"/>
                <w:szCs w:val="24"/>
              </w:rPr>
              <w:t>Date NOCS is Due</w:t>
            </w:r>
          </w:p>
        </w:tc>
      </w:tr>
      <w:tr>
        <w:tc>
          <w:tcPr>
            <w:tcW w:w="3078" w:type="dxa"/>
            <w:tcBorders>
              <w:top w:val="single" w:sz="4" w:space="0" w:color="auto"/>
            </w:tcBorders>
          </w:tcPr>
          <w:p>
            <w:pPr>
              <w:rPr>
                <w:rFonts w:ascii="Times New Roman" w:hAnsi="Times New Roman" w:cs="Times New Roman"/>
                <w:sz w:val="24"/>
                <w:szCs w:val="24"/>
              </w:rPr>
            </w:pPr>
            <w:r>
              <w:rPr>
                <w:rFonts w:ascii="Times New Roman" w:hAnsi="Times New Roman" w:cs="Times New Roman"/>
                <w:sz w:val="24"/>
                <w:szCs w:val="24"/>
              </w:rPr>
              <w:t xml:space="preserve"> Existing Source</w:t>
            </w:r>
          </w:p>
          <w:p>
            <w:pPr>
              <w:rPr>
                <w:rFonts w:ascii="Times New Roman" w:hAnsi="Times New Roman" w:cs="Times New Roman"/>
                <w:sz w:val="24"/>
                <w:szCs w:val="24"/>
              </w:rPr>
            </w:pPr>
          </w:p>
        </w:tc>
        <w:tc>
          <w:tcPr>
            <w:tcW w:w="4050" w:type="dxa"/>
            <w:tcBorders>
              <w:top w:val="single" w:sz="4" w:space="0" w:color="auto"/>
            </w:tcBorders>
          </w:tcPr>
          <w:p>
            <w:pPr>
              <w:rPr>
                <w:rFonts w:ascii="Times New Roman" w:hAnsi="Times New Roman" w:cs="Times New Roman"/>
                <w:sz w:val="24"/>
                <w:szCs w:val="24"/>
              </w:rPr>
            </w:pPr>
            <w:r>
              <w:rPr>
                <w:rFonts w:ascii="Times New Roman" w:hAnsi="Times New Roman" w:cs="Times New Roman"/>
                <w:sz w:val="24"/>
                <w:szCs w:val="24"/>
              </w:rPr>
              <w:t>⁯ March 21, 2013</w:t>
            </w:r>
          </w:p>
        </w:tc>
        <w:tc>
          <w:tcPr>
            <w:tcW w:w="4320" w:type="dxa"/>
            <w:vMerge w:val="restart"/>
            <w:tcBorders>
              <w:top w:val="single" w:sz="4" w:space="0" w:color="auto"/>
            </w:tcBorders>
          </w:tcPr>
          <w:p>
            <w:pPr>
              <w:rPr>
                <w:rFonts w:ascii="Times New Roman" w:hAnsi="Times New Roman" w:cs="Times New Roman"/>
                <w:sz w:val="24"/>
                <w:szCs w:val="24"/>
              </w:rPr>
            </w:pPr>
            <w:r>
              <w:rPr>
                <w:rFonts w:ascii="Times New Roman" w:hAnsi="Times New Roman" w:cs="Times New Roman"/>
                <w:sz w:val="24"/>
                <w:szCs w:val="24"/>
              </w:rPr>
              <w:t>⁯ If a performance test is required to demonstration compliance, the notification must be sent before close of business on the 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following completion of the performance test.</w:t>
            </w:r>
          </w:p>
          <w:p>
            <w:pPr>
              <w:rPr>
                <w:rFonts w:ascii="Times New Roman" w:hAnsi="Times New Roman" w:cs="Times New Roman"/>
                <w:sz w:val="24"/>
                <w:szCs w:val="24"/>
              </w:rPr>
            </w:pPr>
          </w:p>
          <w:p>
            <w:pPr>
              <w:rPr>
                <w:sz w:val="24"/>
                <w:szCs w:val="24"/>
              </w:rPr>
            </w:pPr>
            <w:r>
              <w:rPr>
                <w:rFonts w:ascii="Times New Roman" w:hAnsi="Times New Roman" w:cs="Times New Roman"/>
                <w:sz w:val="24"/>
                <w:szCs w:val="24"/>
              </w:rPr>
              <w:t>⁯ If opacity or visible emission observations are required to demonstrate compliance, the notification of compliance shall be sent before close of business on the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following completion of opacity or visible emission observations.</w:t>
            </w:r>
            <w:r>
              <w:rPr>
                <w:sz w:val="24"/>
                <w:szCs w:val="24"/>
              </w:rPr>
              <w:t xml:space="preserve">                   </w:t>
            </w:r>
          </w:p>
          <w:p>
            <w:pPr>
              <w:rPr>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(Notification may be combined as long as the due date requirement for each notification is met.)                                                                                                                   </w:t>
            </w:r>
          </w:p>
        </w:tc>
      </w:tr>
      <w:tr>
        <w:tc>
          <w:tcPr>
            <w:tcW w:w="3078" w:type="dxa"/>
          </w:tcPr>
          <w:p>
            <w:pPr>
              <w:rPr>
                <w:rFonts w:ascii="Times New Roman" w:hAnsi="Times New Roman" w:cs="Times New Roman"/>
                <w:sz w:val="24"/>
                <w:szCs w:val="24"/>
              </w:rPr>
            </w:pPr>
            <w:r>
              <w:rPr>
                <w:rFonts w:ascii="Times New Roman" w:hAnsi="Times New Roman" w:cs="Times New Roman"/>
                <w:sz w:val="24"/>
                <w:szCs w:val="24"/>
              </w:rPr>
              <w:t>New Source</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tc>
        <w:tc>
          <w:tcPr>
            <w:tcW w:w="4050" w:type="dxa"/>
          </w:tcPr>
          <w:p>
            <w:pPr>
              <w:rPr>
                <w:rFonts w:ascii="Times New Roman" w:hAnsi="Times New Roman" w:cs="Times New Roman"/>
                <w:sz w:val="24"/>
                <w:szCs w:val="24"/>
              </w:rPr>
            </w:pPr>
            <w:r>
              <w:rPr>
                <w:rFonts w:ascii="Times New Roman" w:hAnsi="Times New Roman" w:cs="Times New Roman"/>
                <w:sz w:val="24"/>
                <w:szCs w:val="24"/>
              </w:rPr>
              <w:t>New affected sources that started up on or before October 29, 2009:</w:t>
            </w:r>
          </w:p>
          <w:p>
            <w:pPr>
              <w:rPr>
                <w:rFonts w:ascii="Times New Roman" w:hAnsi="Times New Roman" w:cs="Times New Roman"/>
                <w:sz w:val="24"/>
                <w:szCs w:val="24"/>
              </w:rPr>
            </w:pPr>
            <w:r>
              <w:rPr>
                <w:rFonts w:ascii="Times New Roman" w:hAnsi="Times New Roman" w:cs="Times New Roman"/>
                <w:sz w:val="24"/>
                <w:szCs w:val="24"/>
              </w:rPr>
              <w:t>⁯ October 29, 2009</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New affected sources that                                                                                                                                                                                                                                                                                                                                                                                                                                                                                                                                                                                                                                                                                                                                                                                                                                                                                                                                                                                                                                                                                                                                                                                                                                                                                                                                                                                                                                                                                                                                                                                                                                                                                                                                                                                                                                                                                                                                                                                                                                                                                                                                                                                                                                                                                                                                                                                                                                                                                                                                                                                                                                                                                                                                                                                                                                                                                                                                                                                                                                                                                              started up after October 29, 2009:</w:t>
            </w:r>
          </w:p>
          <w:p>
            <w:pPr>
              <w:rPr>
                <w:rFonts w:ascii="Times New Roman" w:hAnsi="Times New Roman" w:cs="Times New Roman"/>
                <w:sz w:val="24"/>
                <w:szCs w:val="24"/>
              </w:rPr>
            </w:pPr>
            <w:r>
              <w:rPr>
                <w:rFonts w:ascii="Times New Roman" w:hAnsi="Times New Roman" w:cs="Times New Roman"/>
                <w:sz w:val="24"/>
                <w:szCs w:val="24"/>
              </w:rPr>
              <w:t>⁯ Upon startup of affected source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Specify startup date:____________</w:t>
            </w:r>
          </w:p>
          <w:p>
            <w:pPr>
              <w:rPr>
                <w:rFonts w:ascii="Times New Roman" w:hAnsi="Times New Roman" w:cs="Times New Roman"/>
                <w:sz w:val="24"/>
                <w:szCs w:val="24"/>
              </w:rPr>
            </w:pPr>
          </w:p>
        </w:tc>
        <w:tc>
          <w:tcPr>
            <w:tcW w:w="4320" w:type="dxa"/>
            <w:vMerge/>
          </w:tcPr>
          <w:p>
            <w:pPr>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If a title V permit is issued to the owner or operator of an affected source, the owner or operator of such source shall comply with all requirements for compliance status reports contained in the sources title V permit, including reports required under 40 CFR §63.9.  After the title V permit has been issued to the owner or operator of an affected source, and each time a notification of compliance status is required, the owner or operator of such source shall submit the notification of compliance status to the appropriate permitting authority following completion of relevant compliance demonstration specified in the relevant standard.</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Section III:  Description of Operation</w:t>
      </w:r>
    </w:p>
    <w:p>
      <w:pPr>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 xml:space="preserve">This facility uses, produces, or generates a Table 1 organic HAP.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This facility uses, produces, or generated a Table 1 metal HAP.</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Please list the amounts of HAP emitted by this source, reported in unites and averaging times and in accordance with the test methods specified in this standard. </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lastRenderedPageBreak/>
        <w:t>Which of the following types of emission sources do you have at your facility?</w:t>
      </w:r>
    </w:p>
    <w:p>
      <w:pPr>
        <w:tabs>
          <w:tab w:val="left" w:pos="8625"/>
        </w:tabs>
        <w:rPr>
          <w:rFonts w:ascii="Times New Roman" w:hAnsi="Times New Roman" w:cs="Times New Roman"/>
          <w:sz w:val="24"/>
          <w:szCs w:val="24"/>
        </w:rPr>
      </w:pPr>
      <w:r>
        <w:rPr>
          <w:rFonts w:ascii="Times New Roman" w:hAnsi="Times New Roman" w:cs="Times New Roman"/>
          <w:sz w:val="24"/>
          <w:szCs w:val="24"/>
        </w:rPr>
        <w:tab/>
      </w:r>
    </w:p>
    <w:p>
      <w:pPr>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sz w:val="24"/>
          <w:szCs w:val="24"/>
        </w:rPr>
        <w:t>Batch Process Vents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 xml:space="preserve">⁯ </w:t>
      </w:r>
      <w:r>
        <w:rPr>
          <w:rFonts w:ascii="Times New Roman" w:hAnsi="Times New Roman" w:cs="Times New Roman"/>
          <w:sz w:val="24"/>
          <w:szCs w:val="24"/>
        </w:rPr>
        <w:t>Wastewater</w:t>
      </w:r>
    </w:p>
    <w:p>
      <w:pPr>
        <w:rPr>
          <w:rFonts w:ascii="Times New Roman" w:hAnsi="Times New Roman" w:cs="Times New Roman"/>
          <w:sz w:val="24"/>
          <w:szCs w:val="24"/>
        </w:rPr>
      </w:pPr>
    </w:p>
    <w:p>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24"/>
          <w:szCs w:val="24"/>
        </w:rPr>
        <w:t>Continues Process Vents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 xml:space="preserve">⁯ </w:t>
      </w:r>
      <w:r>
        <w:rPr>
          <w:rFonts w:ascii="Times New Roman" w:hAnsi="Times New Roman" w:cs="Times New Roman"/>
          <w:sz w:val="24"/>
          <w:szCs w:val="24"/>
        </w:rPr>
        <w:t>Transfer Operations</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 xml:space="preserve"> Halogenated Process Vents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 xml:space="preserve">⁯ </w:t>
      </w:r>
      <w:r>
        <w:rPr>
          <w:rFonts w:ascii="Times New Roman" w:hAnsi="Times New Roman" w:cs="Times New Roman"/>
          <w:sz w:val="24"/>
          <w:szCs w:val="24"/>
        </w:rPr>
        <w:t>Equipment (i.e., valves, pumps, compressors, etc.)</w:t>
      </w:r>
    </w:p>
    <w:p>
      <w:pPr>
        <w:rPr>
          <w:rFonts w:ascii="Times New Roman" w:hAnsi="Times New Roman" w:cs="Times New Roman"/>
          <w:sz w:val="32"/>
          <w:szCs w:val="32"/>
        </w:rPr>
      </w:pPr>
    </w:p>
    <w:p>
      <w:pPr>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Storage Vessels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32"/>
          <w:szCs w:val="32"/>
        </w:rPr>
        <w:t>⁯</w:t>
      </w:r>
      <w:r>
        <w:rPr>
          <w:rFonts w:ascii="Times New Roman" w:hAnsi="Times New Roman" w:cs="Times New Roman"/>
          <w:sz w:val="24"/>
          <w:szCs w:val="24"/>
        </w:rPr>
        <w:t>Heat exchange systems</w:t>
      </w:r>
    </w:p>
    <w:p>
      <w:pPr>
        <w:rPr>
          <w:rFonts w:ascii="Times New Roman" w:hAnsi="Times New Roman" w:cs="Times New Roman"/>
          <w:sz w:val="24"/>
          <w:szCs w:val="24"/>
        </w:rPr>
      </w:pPr>
    </w:p>
    <w:p>
      <w:pPr>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24"/>
          <w:szCs w:val="24"/>
        </w:rPr>
        <w:t>Bottoms receivers and/or surge control vessels</w:t>
      </w:r>
    </w:p>
    <w:p>
      <w:pPr>
        <w:rPr>
          <w:rFonts w:ascii="Times New Roman" w:hAnsi="Times New Roman" w:cs="Times New Roman"/>
          <w:sz w:val="32"/>
          <w:szCs w:val="32"/>
        </w:rPr>
      </w:pPr>
    </w:p>
    <w:p>
      <w:pPr>
        <w:rPr>
          <w:rFonts w:ascii="Times New Roman" w:hAnsi="Times New Roman" w:cs="Times New Roman"/>
          <w:sz w:val="24"/>
          <w:szCs w:val="24"/>
        </w:rPr>
      </w:pPr>
      <w:r>
        <w:rPr>
          <w:rFonts w:ascii="Times New Roman" w:hAnsi="Times New Roman" w:cs="Times New Roman"/>
          <w:sz w:val="24"/>
          <w:szCs w:val="24"/>
        </w:rPr>
        <w:t>Please write a brief description of your operation (i.e., nature, size, design, and method of operation of the source, etc.):</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24"/>
          <w:szCs w:val="24"/>
        </w:rPr>
      </w:pPr>
      <w:r>
        <w:rPr>
          <w:rFonts w:ascii="Times New Roman" w:hAnsi="Times New Roman" w:cs="Times New Roman"/>
          <w:sz w:val="24"/>
          <w:szCs w:val="24"/>
        </w:rPr>
        <w:t>If you are complying with the alternative standard as specified in Table 2 to this subpart for batch process vents, you must include the information specified in  63.1258(b)(5), as applicable.  You may either include the information below or as an attachment.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If you are complying with the alternative standard as specified in Table 3 to this subpart for continuous process vents, you must provide the information specified in  63.1258(b)(5), as applicable.  You may either provide the information below or as an attachment.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sz w:val="24"/>
          <w:szCs w:val="24"/>
        </w:rPr>
        <w:lastRenderedPageBreak/>
        <w:t>If you established an operating limit for a parameter that will not be monitored continuously in accordance with §§63.11496(g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4) and 63.2450(k)(6), provide the information as specified in §§63.11496(g)(4) and 63.2450(k)(6).  You may provide the information below or as an attachment.  </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List all transferred liquids that are reactive or resinous materials, as defined in §63.11502(b).</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I am subject to 40 CFR part 63, subpart VVVVVV and another Federal standard (as described in §63.11500) and will comply with the alternative standard as specified in Table 2 to this subpart or Table 3 of this subpart.  Provide a description of the alternative standard with which you will comply.  The alternative standards must be at least as stringent as the corresponding requirements in this subpart VVVVVV.</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b/>
          <w:sz w:val="24"/>
          <w:szCs w:val="24"/>
        </w:rPr>
        <w:lastRenderedPageBreak/>
        <w:t>SECTION IV:  CERTIFICATION</w:t>
      </w:r>
    </w:p>
    <w:p>
      <w:pPr>
        <w:rPr>
          <w:rFonts w:ascii="Times New Roman" w:hAnsi="Times New Roman" w:cs="Times New Roman"/>
          <w:sz w:val="24"/>
          <w:szCs w:val="24"/>
        </w:rPr>
      </w:pPr>
    </w:p>
    <w:p>
      <w:pPr>
        <w:ind w:left="720" w:hanging="720"/>
        <w:rPr>
          <w:rFonts w:ascii="Times New Roman" w:hAnsi="Times New Roman" w:cs="Times New Roman"/>
          <w:sz w:val="24"/>
          <w:szCs w:val="24"/>
        </w:rPr>
      </w:pPr>
    </w:p>
    <w:p>
      <w:pPr>
        <w:ind w:left="720" w:hanging="720"/>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This facility complies with the management practices in §63.11495.</w:t>
      </w:r>
    </w:p>
    <w:p>
      <w:pPr>
        <w:ind w:left="720" w:hanging="720"/>
        <w:rPr>
          <w:rFonts w:ascii="Times New Roman" w:hAnsi="Times New Roman" w:cs="Times New Roman"/>
          <w:sz w:val="24"/>
          <w:szCs w:val="24"/>
        </w:rPr>
      </w:pPr>
    </w:p>
    <w:p>
      <w:pPr>
        <w:ind w:left="720" w:hanging="720"/>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This facility complies with the requirements in</w:t>
      </w:r>
      <w:r>
        <w:rPr>
          <w:rFonts w:ascii="Times New Roman" w:hAnsi="Times New Roman" w:cs="Times New Roman"/>
          <w:sz w:val="32"/>
          <w:szCs w:val="32"/>
        </w:rPr>
        <w:t xml:space="preserve"> </w:t>
      </w:r>
      <w:r>
        <w:rPr>
          <w:rFonts w:ascii="Times New Roman" w:hAnsi="Times New Roman" w:cs="Times New Roman"/>
          <w:sz w:val="24"/>
          <w:szCs w:val="24"/>
        </w:rPr>
        <w:t>§63.11496 for HAP emissions from process vents.</w:t>
      </w:r>
    </w:p>
    <w:p>
      <w:pPr>
        <w:ind w:left="720" w:hanging="720"/>
        <w:rPr>
          <w:rFonts w:ascii="Times New Roman" w:hAnsi="Times New Roman" w:cs="Times New Roman"/>
          <w:sz w:val="24"/>
          <w:szCs w:val="24"/>
        </w:rPr>
      </w:pPr>
    </w:p>
    <w:p>
      <w:pPr>
        <w:ind w:left="720" w:hanging="720"/>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 xml:space="preserve">This facility complies with the requirements in §63.11496 and §63.11497 for surge control vessels, bottoms receivers, and storage tanks. </w:t>
      </w:r>
    </w:p>
    <w:p>
      <w:pPr>
        <w:ind w:left="720" w:hanging="720"/>
        <w:rPr>
          <w:rFonts w:ascii="Times New Roman" w:hAnsi="Times New Roman" w:cs="Times New Roman"/>
          <w:sz w:val="24"/>
          <w:szCs w:val="24"/>
        </w:rPr>
      </w:pPr>
    </w:p>
    <w:p>
      <w:pPr>
        <w:ind w:left="720" w:hanging="720"/>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This facility complies with the requirements in §63.11498 to treat wastewater streams.</w:t>
      </w:r>
    </w:p>
    <w:p>
      <w:pPr>
        <w:ind w:left="720" w:hanging="720"/>
        <w:rPr>
          <w:rFonts w:ascii="Times New Roman" w:hAnsi="Times New Roman" w:cs="Times New Roman"/>
          <w:sz w:val="24"/>
          <w:szCs w:val="24"/>
        </w:rPr>
      </w:pPr>
    </w:p>
    <w:p>
      <w:pPr>
        <w:ind w:left="720" w:hanging="720"/>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 xml:space="preserve">This facility complies with the requirements in §63.11499 for heat exchange systems. </w:t>
      </w:r>
    </w:p>
    <w:p>
      <w:pPr>
        <w:ind w:left="720"/>
        <w:rPr>
          <w:rFonts w:ascii="Times New Roman" w:hAnsi="Times New Roman" w:cs="Times New Roman"/>
          <w:sz w:val="24"/>
          <w:szCs w:val="24"/>
        </w:rPr>
      </w:pPr>
    </w:p>
    <w:p>
      <w:pPr>
        <w:ind w:left="720"/>
        <w:rPr>
          <w:rFonts w:ascii="Times New Roman" w:hAnsi="Times New Roman" w:cs="Times New Roman"/>
          <w:sz w:val="24"/>
          <w:szCs w:val="24"/>
        </w:rPr>
      </w:pPr>
    </w:p>
    <w:p>
      <w:pPr>
        <w:ind w:left="720"/>
        <w:rPr>
          <w:rFonts w:ascii="Times New Roman" w:hAnsi="Times New Roman" w:cs="Times New Roman"/>
          <w:sz w:val="24"/>
          <w:szCs w:val="24"/>
        </w:rPr>
      </w:pPr>
    </w:p>
    <w:p>
      <w:pPr>
        <w:ind w:left="720" w:hanging="720"/>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 xml:space="preserve">I certify that my facility has complied with all the relevant standards and other requirements of 40 CFR part         63, subpart VVVVVV. </w:t>
      </w:r>
    </w:p>
    <w:p>
      <w:pPr>
        <w:ind w:left="720" w:hanging="720"/>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32"/>
          <w:szCs w:val="32"/>
        </w:rPr>
        <w:t>⁯</w:t>
      </w:r>
      <w:r>
        <w:rPr>
          <w:rFonts w:ascii="Times New Roman" w:hAnsi="Times New Roman" w:cs="Times New Roman"/>
          <w:sz w:val="24"/>
          <w:szCs w:val="24"/>
        </w:rPr>
        <w:t xml:space="preserve">I certify that the information presented here is true, accurate, and complete to the best of my knowledge.  </w:t>
      </w:r>
    </w:p>
    <w:p>
      <w:pPr>
        <w:rPr>
          <w:rFonts w:ascii="Times New Roman" w:hAnsi="Times New Roman" w:cs="Times New Roman"/>
          <w:sz w:val="24"/>
          <w:szCs w:val="24"/>
        </w:rPr>
      </w:pPr>
      <w:r>
        <w:rPr>
          <w:rFonts w:ascii="Times New Roman" w:hAnsi="Times New Roman" w:cs="Times New Roman"/>
          <w:sz w:val="24"/>
          <w:szCs w:val="24"/>
        </w:rPr>
        <w:tab/>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Name (please print):_________________________________________________________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_____________________________________________________ Date:_______________</w:t>
      </w:r>
    </w:p>
    <w:p>
      <w:pPr>
        <w:rPr>
          <w:rFonts w:ascii="Times New Roman" w:hAnsi="Times New Roman" w:cs="Times New Roman"/>
          <w:i/>
          <w:sz w:val="24"/>
          <w:szCs w:val="24"/>
        </w:rPr>
      </w:pPr>
      <w:r>
        <w:rPr>
          <w:rFonts w:ascii="Times New Roman" w:hAnsi="Times New Roman" w:cs="Times New Roman"/>
          <w:i/>
          <w:sz w:val="24"/>
          <w:szCs w:val="24"/>
        </w:rPr>
        <w:t>Signature</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autoSpaceDE w:val="0"/>
        <w:autoSpaceDN w:val="0"/>
        <w:adjustRightInd w:val="0"/>
        <w:rPr>
          <w:rFonts w:ascii="Times New Roman" w:eastAsia="Arial Unicode MS" w:hAnsi="Times New Roman" w:cs="Times New Roman"/>
          <w:b/>
          <w:sz w:val="24"/>
          <w:szCs w:val="24"/>
        </w:rPr>
      </w:pPr>
      <w:proofErr w:type="gramStart"/>
      <w:r>
        <w:rPr>
          <w:rFonts w:ascii="Times New Roman" w:eastAsia="Arial Unicode MS" w:hAnsi="Times New Roman" w:cs="Times New Roman"/>
          <w:b/>
          <w:sz w:val="24"/>
          <w:szCs w:val="24"/>
        </w:rPr>
        <w:lastRenderedPageBreak/>
        <w:t>SECTION VI.</w:t>
      </w:r>
      <w:proofErr w:type="gramEnd"/>
      <w:r>
        <w:rPr>
          <w:rFonts w:ascii="Times New Roman" w:eastAsia="Arial Unicode MS" w:hAnsi="Times New Roman" w:cs="Times New Roman"/>
          <w:b/>
          <w:sz w:val="24"/>
          <w:szCs w:val="24"/>
        </w:rPr>
        <w:t xml:space="preserve">  SUBMITTAL</w:t>
      </w:r>
    </w:p>
    <w:p>
      <w:pPr>
        <w:autoSpaceDE w:val="0"/>
        <w:autoSpaceDN w:val="0"/>
        <w:adjustRightInd w:val="0"/>
        <w:rPr>
          <w:rFonts w:ascii="Times New Roman" w:eastAsia="Arial Unicode MS" w:hAnsi="Times New Roman" w:cs="Times New Roman"/>
          <w:b/>
          <w:sz w:val="24"/>
          <w:szCs w:val="24"/>
        </w:rPr>
      </w:pPr>
    </w:p>
    <w:p>
      <w:pPr>
        <w:autoSpaceDE w:val="0"/>
        <w:autoSpaceDN w:val="0"/>
        <w:adjustRightInd w:val="0"/>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 xml:space="preserve">Submit the Initial Notification to one of the following offices, as appropriate: </w:t>
      </w:r>
    </w:p>
    <w:p>
      <w:pPr>
        <w:autoSpaceDE w:val="0"/>
        <w:autoSpaceDN w:val="0"/>
        <w:adjustRightInd w:val="0"/>
        <w:rPr>
          <w:rFonts w:ascii="Times New Roman" w:eastAsia="Arial Unicode MS" w:hAnsi="Times New Roman" w:cs="Times New Roman"/>
          <w:color w:val="000000"/>
          <w:sz w:val="24"/>
          <w:szCs w:val="24"/>
        </w:rPr>
      </w:pPr>
    </w:p>
    <w:p>
      <w:pPr>
        <w:numPr>
          <w:ilvl w:val="0"/>
          <w:numId w:val="2"/>
        </w:num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If your State has been delegated the authority for this regulation under section 112(l) of the  Clean Air Act</w:t>
      </w:r>
      <w:r>
        <w:rPr>
          <w:rStyle w:val="FootnoteReference"/>
          <w:rFonts w:ascii="Times New Roman" w:eastAsia="Arial Unicode MS" w:hAnsi="Times New Roman" w:cs="Times New Roman"/>
          <w:color w:val="000000"/>
          <w:sz w:val="24"/>
          <w:szCs w:val="24"/>
        </w:rPr>
        <w:footnoteReference w:id="3"/>
      </w:r>
      <w:r>
        <w:rPr>
          <w:rFonts w:ascii="Times New Roman" w:eastAsia="Arial Unicode MS" w:hAnsi="Times New Roman" w:cs="Times New Roman"/>
          <w:color w:val="000000"/>
          <w:sz w:val="24"/>
          <w:szCs w:val="24"/>
        </w:rPr>
        <w:t xml:space="preserve">, submit the notification to your State agency found at the following link: </w:t>
      </w:r>
    </w:p>
    <w:p>
      <w:pPr>
        <w:autoSpaceDE w:val="0"/>
        <w:autoSpaceDN w:val="0"/>
        <w:adjustRightInd w:val="0"/>
        <w:ind w:left="360" w:firstLine="720"/>
        <w:rPr>
          <w:rFonts w:ascii="Times New Roman" w:eastAsia="Arial Unicode MS" w:hAnsi="Times New Roman" w:cs="Times New Roman"/>
          <w:color w:val="000000"/>
          <w:sz w:val="24"/>
          <w:szCs w:val="24"/>
          <w:u w:val="single"/>
        </w:rPr>
      </w:pPr>
      <w:hyperlink r:id="rId8" w:history="1">
        <w:r>
          <w:rPr>
            <w:rStyle w:val="Hyperlink"/>
            <w:rFonts w:ascii="Times New Roman" w:eastAsia="Arial Unicode MS" w:hAnsi="Times New Roman" w:cs="Times New Roman"/>
            <w:sz w:val="24"/>
            <w:szCs w:val="24"/>
          </w:rPr>
          <w:t>http://www.epa.gov/ttn/atw/area/table_state_contacts.doc</w:t>
        </w:r>
      </w:hyperlink>
      <w:r>
        <w:rPr>
          <w:rFonts w:ascii="Times New Roman" w:eastAsia="Arial Unicode MS" w:hAnsi="Times New Roman" w:cs="Times New Roman"/>
          <w:color w:val="000000"/>
          <w:sz w:val="24"/>
          <w:szCs w:val="24"/>
          <w:u w:val="single"/>
        </w:rPr>
        <w:t xml:space="preserve">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ind w:left="360"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If your state/local contact is not listed at the above link, use this link: </w:t>
      </w:r>
    </w:p>
    <w:p>
      <w:pPr>
        <w:autoSpaceDE w:val="0"/>
        <w:autoSpaceDN w:val="0"/>
        <w:adjustRightInd w:val="0"/>
        <w:ind w:left="360" w:firstLine="720"/>
        <w:rPr>
          <w:rFonts w:ascii="Times New Roman" w:eastAsia="Arial Unicode MS" w:hAnsi="Times New Roman" w:cs="Times New Roman"/>
          <w:color w:val="000000"/>
          <w:sz w:val="24"/>
          <w:szCs w:val="24"/>
          <w:u w:val="single"/>
        </w:rPr>
      </w:pPr>
      <w:hyperlink r:id="rId9" w:history="1">
        <w:r>
          <w:rPr>
            <w:rStyle w:val="Hyperlink"/>
            <w:rFonts w:ascii="Times New Roman" w:eastAsia="Arial Unicode MS" w:hAnsi="Times New Roman" w:cs="Times New Roman"/>
            <w:sz w:val="24"/>
            <w:szCs w:val="24"/>
          </w:rPr>
          <w:t>http://www.4cleanair.org/contactUsaLevel.asp</w:t>
        </w:r>
      </w:hyperlink>
    </w:p>
    <w:p>
      <w:pPr>
        <w:autoSpaceDE w:val="0"/>
        <w:autoSpaceDN w:val="0"/>
        <w:adjustRightInd w:val="0"/>
        <w:jc w:val="center"/>
        <w:rPr>
          <w:rFonts w:ascii="Times New Roman" w:eastAsia="Arial Unicode MS" w:hAnsi="Times New Roman" w:cs="Times New Roman"/>
          <w:color w:val="000000"/>
          <w:sz w:val="24"/>
          <w:szCs w:val="24"/>
          <w:u w:val="single"/>
        </w:rPr>
      </w:pPr>
    </w:p>
    <w:p>
      <w:pPr>
        <w:numPr>
          <w:ilvl w:val="0"/>
          <w:numId w:val="2"/>
        </w:num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If your EPA Region has assumed the authority for this rule, submit the notification to your Regional Office of the EPA, from the list below: </w:t>
      </w:r>
    </w:p>
    <w:p>
      <w:pPr>
        <w:autoSpaceDE w:val="0"/>
        <w:autoSpaceDN w:val="0"/>
        <w:adjustRightInd w:val="0"/>
        <w:jc w:val="center"/>
        <w:rPr>
          <w:rFonts w:ascii="Arial" w:eastAsia="Arial Unicode MS" w:hAnsi="Arial" w:cs="Arial"/>
          <w:i/>
          <w:iCs/>
          <w:color w:val="000000"/>
          <w:sz w:val="18"/>
          <w:szCs w:val="18"/>
        </w:rPr>
      </w:pPr>
      <w:r>
        <w:rPr>
          <w:rFonts w:ascii="Times New Roman" w:eastAsia="Arial Unicode MS" w:hAnsi="Times New Roman" w:cs="Times New Roman"/>
          <w:i/>
          <w:iCs/>
          <w:color w:val="000000"/>
          <w:sz w:val="24"/>
          <w:szCs w:val="24"/>
        </w:rPr>
        <w:br w:type="page"/>
      </w:r>
    </w:p>
    <w:p>
      <w:pPr>
        <w:autoSpaceDE w:val="0"/>
        <w:autoSpaceDN w:val="0"/>
        <w:adjustRightInd w:val="0"/>
        <w:ind w:firstLine="720"/>
        <w:rPr>
          <w:rFonts w:eastAsia="Arial Unicode MS"/>
          <w:color w:val="000000"/>
        </w:rPr>
      </w:pPr>
    </w:p>
    <w:p>
      <w:pPr>
        <w:autoSpaceDE w:val="0"/>
        <w:autoSpaceDN w:val="0"/>
        <w:adjustRightInd w:val="0"/>
        <w:ind w:left="720"/>
        <w:rPr>
          <w:rFonts w:eastAsia="Arial Unicode MS"/>
          <w:color w:val="000000"/>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I (Connecticut, Maine, Massachusetts, New Hampshire, Rhode Island, Vermont)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US Environmental Protection Agency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5 Post Office Square, Suite 100, Mail code: OES04-2,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Boston MA 02109-3912 Attention: Air Clerk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II (New Jersey, New York, Puerto Rico, Virgin Islands),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Division of Enforcement and Compliance Assistance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290 Broadway, New York, NY 10007-1866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III (Delaware, District of Columbia, Maryland, Pennsylvania, Virginia, West Virginia)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Air Protection Division, 1650 Arch Street, Philadelphia, PA 19103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IV (Alabama, Florida, Georgia, Kentucky, Mississippi, North Carolina, South Carolina, Tennessee)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Air, Pesticides and Toxics Management Division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Atlanta Federal Center, 61 Forsyth Street, Atlanta, GA 30303–3104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V (Illinois, Indiana, Michigan, Minnesota, Ohio, Wisconsin)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Air and Radiation Division, 77 West Jackson Blvd., Chicago, IL 60604–3507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VI (Arkansas, Louisiana, New Mexico, Oklahoma, Texas)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Air, Pesticides and Toxics, 1445 Ross Avenue, Dallas, TX 75202–2733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VII (Iowa, Kansas, Missouri, Nebraska)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Air and Waste Management Division, U.S. Environmental Protection Agency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901 N. 5th Street, Kansas City, KS 66101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VIII (Colorado, Montana, North Dakota, South Dakota, Utah, Wyoming) </w:t>
      </w:r>
    </w:p>
    <w:p>
      <w:pPr>
        <w:autoSpaceDE w:val="0"/>
        <w:autoSpaceDN w:val="0"/>
        <w:adjustRightInd w:val="0"/>
        <w:ind w:left="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Air and Toxics Technical Enforcement Program, Office of Enforcement, Compliance and Environmental Justice, 1595 Wynkoop Street, Denver, CO 80202-1129 </w:t>
      </w:r>
    </w:p>
    <w:p>
      <w:pPr>
        <w:autoSpaceDE w:val="0"/>
        <w:autoSpaceDN w:val="0"/>
        <w:adjustRightInd w:val="0"/>
        <w:ind w:left="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IX (Arizona, California, Hawaii, Nevada, American Samoa, Guam) </w:t>
      </w:r>
    </w:p>
    <w:p>
      <w:pPr>
        <w:autoSpaceDE w:val="0"/>
        <w:autoSpaceDN w:val="0"/>
        <w:adjustRightInd w:val="0"/>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Director, Air and Toxics Division, 75 Hawthorne Street, San Francisco, CA 94105 </w:t>
      </w:r>
    </w:p>
    <w:p>
      <w:pPr>
        <w:autoSpaceDE w:val="0"/>
        <w:autoSpaceDN w:val="0"/>
        <w:adjustRightInd w:val="0"/>
        <w:ind w:firstLine="720"/>
        <w:rPr>
          <w:rFonts w:ascii="Times New Roman" w:eastAsia="Arial Unicode MS" w:hAnsi="Times New Roman" w:cs="Times New Roman"/>
          <w:color w:val="000000"/>
          <w:sz w:val="24"/>
          <w:szCs w:val="24"/>
        </w:rPr>
      </w:pPr>
    </w:p>
    <w:p>
      <w:pPr>
        <w:autoSpaceDE w:val="0"/>
        <w:autoSpaceDN w:val="0"/>
        <w:adjustRightInd w:val="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EPA Region X (Alaska, Idaho, Oregon, Washington) </w:t>
      </w:r>
    </w:p>
    <w:p>
      <w:pPr>
        <w:ind w:left="720"/>
        <w:rPr>
          <w:rFonts w:ascii="Times New Roman" w:hAnsi="Times New Roman" w:cs="Times New Roman"/>
          <w:sz w:val="24"/>
          <w:szCs w:val="24"/>
        </w:rPr>
      </w:pPr>
      <w:r>
        <w:rPr>
          <w:rFonts w:ascii="Times New Roman" w:eastAsia="Arial Unicode MS" w:hAnsi="Times New Roman" w:cs="Times New Roman"/>
          <w:color w:val="000000"/>
          <w:sz w:val="24"/>
          <w:szCs w:val="24"/>
        </w:rPr>
        <w:t>Director, Office of Air, Waste and Toxics, 1200 6th Ave., Suite 900, AWT-107, Seattle, WA 98101</w:t>
      </w:r>
    </w:p>
    <w:p>
      <w:pPr>
        <w:rPr>
          <w:rFonts w:ascii="Times New Roman" w:hAnsi="Times New Roman" w:cs="Times New Roman"/>
          <w:sz w:val="24"/>
          <w:szCs w:val="24"/>
        </w:rPr>
      </w:pPr>
    </w:p>
    <w:sectPr>
      <w:footerReference w:type="default" r:id="rId10"/>
      <w:pgSz w:w="12240" w:h="15840"/>
      <w:pgMar w:top="720" w:right="288"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345"/>
      <w:docPartObj>
        <w:docPartGallery w:val="Page Numbers (Bottom of Page)"/>
        <w:docPartUnique/>
      </w:docPartObj>
    </w:sdtPr>
    <w:sdtContent>
      <w:p>
        <w:pPr>
          <w:pStyle w:val="Footer"/>
          <w:jc w:val="center"/>
        </w:pPr>
        <w:fldSimple w:instr=" PAGE   \* MERGEFORMAT ">
          <w:r>
            <w:rPr>
              <w:noProof/>
            </w:rPr>
            <w:t>7</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This is an example of the type of information that must be submitted to fulfill the Notification of Compliance Status (NOCS) requirement of 40 CFR </w:t>
      </w:r>
      <w:proofErr w:type="gramStart"/>
      <w:r>
        <w:rPr>
          <w:rFonts w:ascii="Times New Roman" w:hAnsi="Times New Roman" w:cs="Times New Roman"/>
        </w:rPr>
        <w:t>part</w:t>
      </w:r>
      <w:proofErr w:type="gramEnd"/>
      <w:r>
        <w:rPr>
          <w:rFonts w:ascii="Times New Roman" w:hAnsi="Times New Roman" w:cs="Times New Roman"/>
        </w:rPr>
        <w:t xml:space="preserve"> 63, subpart VVVVVV.  You may submit the information in another form or format, or you may use this form.  </w:t>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
    <w:p>
      <w:pPr>
        <w:pStyle w:val="FootnoteText"/>
        <w:numPr>
          <w:ilvl w:val="0"/>
          <w:numId w:val="1"/>
        </w:numPr>
        <w:rPr>
          <w:rFonts w:ascii="Times New Roman" w:hAnsi="Times New Roman" w:cs="Times New Roman"/>
        </w:rPr>
      </w:pPr>
      <w:r>
        <w:rPr>
          <w:rFonts w:ascii="Times New Roman" w:hAnsi="Times New Roman" w:cs="Times New Roman"/>
        </w:rPr>
        <w:t>The affected source under 40 CFR 63 subpart VVVVVV is the facility-wide collection of CMAS CMPUs and each heat exchange system and wastewater system associated with a CMAS CMPU located at an area source.</w:t>
      </w:r>
    </w:p>
    <w:p>
      <w:pPr>
        <w:pStyle w:val="FootnoteText"/>
        <w:numPr>
          <w:ilvl w:val="0"/>
          <w:numId w:val="1"/>
        </w:numPr>
        <w:rPr>
          <w:rFonts w:ascii="Times New Roman" w:hAnsi="Times New Roman" w:cs="Times New Roman"/>
        </w:rPr>
      </w:pPr>
      <w:r>
        <w:rPr>
          <w:rFonts w:ascii="Times New Roman" w:hAnsi="Times New Roman" w:cs="Times New Roman"/>
        </w:rPr>
        <w:t>A CMAS CMPU uses as feedstock, any material that contains quinoline, manganese, and/or trivalent chromium at an individual concentration greater than 1.0 percent by weight, or any other Table 1 HAP at an individual concentration greater than 0.1 percent by weight, during the production of a product (or isolated intermediate) described by NAICS code 325.</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To determine whether your State has been delegated the authority for this regulation under section 112(l) of the Clean Air Act, contact your EPA Regional Office, listed below.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48E"/>
    <w:multiLevelType w:val="hybridMultilevel"/>
    <w:tmpl w:val="B09E40F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472606"/>
    <w:multiLevelType w:val="hybridMultilevel"/>
    <w:tmpl w:val="D53E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area/table_state_contacts.doc%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4cleanair.org/contactUsaLeve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A255A-B9D3-4EB4-B78C-E1947627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Nick Parsons</cp:lastModifiedBy>
  <cp:revision>4</cp:revision>
  <cp:lastPrinted>2012-06-20T19:40:00Z</cp:lastPrinted>
  <dcterms:created xsi:type="dcterms:W3CDTF">2013-01-14T15:55:00Z</dcterms:created>
  <dcterms:modified xsi:type="dcterms:W3CDTF">2013-01-15T18:05:00Z</dcterms:modified>
</cp:coreProperties>
</file>